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BVGE 2015/23 vom 18. Januar 2015</w:t>
      </w:r>
    </w:p>
    <w:p>
      <w:r>
        <w:t>Bundesverwaltungsgericht, 2015-01-18, FR</w:t>
      </w:r>
    </w:p>
    <w:p>
      <w:r>
        <w:rPr>
          <w:b/>
        </w:rPr>
        <w:t xml:space="preserve">Quelle: </w:t>
      </w:r>
      <w:r>
        <w:t>https://mcp.opencaselaw.ch/entscheid/bvger_BVGE 2015_23</w:t>
      </w:r>
    </w:p>
    <w:p>
      <w:r>
        <w:t>FR: TAF BVGE 2015/23 du 18 janvier 2015</w:t>
      </w:r>
    </w:p>
    <w:p>
      <w:r>
        <w:t>IT: TAF BVGE 2015/23 del 18 gennaio 2015</w:t>
      </w:r>
    </w:p>
    <w:p>
      <w:pPr>
        <w:pStyle w:val="Heading2"/>
      </w:pPr>
      <w:r>
        <w:t>Regeste</w:t>
      </w:r>
    </w:p>
    <w:p>
      <w:r>
        <w:t>Responsabilité de l'Etat (Confédération)</w:t>
      </w:r>
    </w:p>
    <w:p>
      <w:pPr>
        <w:pStyle w:val="Heading2"/>
      </w:pPr>
      <w:r>
        <w:t>Erwägungen</w:t>
      </w:r>
    </w:p>
    <w:p>
      <w:r>
        <w:rPr>
          <w:b/>
        </w:rPr>
        <w:t>E. 3</w:t>
      </w:r>
    </w:p>
    <w:p>
      <w:r>
        <w:t>En l'espèce, le litige porte sur la question de savoir si la respon­sabilité de la Confédération est engagée au titre du dommage subi par le recourant, et si elle doit par conséquent en répondre.</w:t>
      </w:r>
    </w:p>
    <w:p>
      <w:r>
        <w:rPr>
          <w:b/>
        </w:rPr>
        <w:t>E. 4</w:t>
      </w:r>
    </w:p>
    <w:p>
      <w:r>
        <w:t>L'action en réparation d'un dommage dirigée contre la Confédé­ration se prescrit par une année à compter du jour où la personne lésée a eu connaissance du dommage et, en tous cas, dans les cinq ans à compter de l'acte dommageable (art. 143 al. 1 de la loi sur l'armée du 3 février 1995 [LAAM, RS 510.10]). Toutefois, lorsque les prétentions découlent d'un comportement délictuel pour lequel le droit pénal prévoit un délai de prescription plus long, celui ci leur est également applicable (art. 143 al. 3 LAAM). En plus des art. 135 à 138 et 142 CO, qui sont applicables par analogie lorsqu'il s'agit d'interrompre et d'invoquer la prescription, faire valoir par écrit le droit à la réparation auprès du DDPS doit aussi être considéré comme un acte interruptif de la prescription (art. 143 al. 4 LAAM). En l'espèce, les personnes mises en cause par le recourant sont des militaires, lesquels sont soumis au droit pénal militaire (cf. art. 3 al. 1 ch. 1 du Code pénal militaire du 13 juin 1927 [CPM, RS 321.0]). Le comportement reproché remplit en outre les conditions objectives de l'infraction de dommages à la propriété au sens de l'art. 134 CPM, dont l'action pénale se prescrit par sept ans (art. 55 al. 1 let. d CPM). Le recou­rant a fait valoir son droit à la réparation par écriture du 12 juin 2013 ad­ressée au DDPS. Partant, la prétention du recourant n'est pas prescrite.</w:t>
      </w:r>
    </w:p>
    <w:p>
      <w:r>
        <w:rPr>
          <w:b/>
        </w:rPr>
        <w:t>E. 5.1</w:t>
      </w:r>
    </w:p>
    <w:p>
      <w:r>
        <w:t>Les personnes appartenant à l'armée, pour ce qui concerne leur situation militaire et leurs devoirs de service, sont exclues du champ d'application de la loi sur la responsabilité du 14 mars 1958 (LRCF, RS 170.32; cf. art. 1 al. 2 LRCF). En vertu de l'art. 135 al. 1 LAAM, ainsi applicable, la Confédération répond du dommage causé sans droit à un tiers par des militaires ou par la troupe, sans égard à la faute, lorsqu'il résulte d'une activité militaire particulièrement dangereuse (let. a) ou d'une autre activité de service (let. b). Pour ce faire, la personne lésée doit apporter la preuve que les conditions cumulatives, à savoir un dom­mage, un comportement d'un ou plusieurs militaires ou de la troupe, un lien de causalité naturelle et adéquate, voire hypothétique, entre le comportement reproché et le dommage et l'illicéité du comportement, sont réalisées (cf. arrêts du TAF A 6735/2011 du 30 avril 2013 consid. 5.1; A 1432/2011 du 1er septembre 2011 consid. 4).</w:t>
      </w:r>
    </w:p>
    <w:p>
      <w:r>
        <w:rPr>
          <w:b/>
        </w:rPr>
        <w:t>E. 5.2</w:t>
      </w:r>
    </w:p>
    <w:p>
      <w:r>
        <w:t>Avant d'examiner si ces différentes conditions cumulatives, pro­pres au droit de la responsabilité, sont remplies, il convient de s'assurer que le dommage dont le recourant fait état résulte bien d'une activité par­ticulièrement dangereuse ou d'une autre activité de service (cf. arrêts du TAF A 6735/2011 consid. 4.2; A 6749/2010 du 3 octobre 2011 consid. 4.1; A 1432/2011 consid. 3; A 7385/2006 du 6 juillet 2007 consid. 3), à défaut de quoi l'engagement de la responsabilité de la Confédération doit d'emblée être nié (cf. arrêts A 6749/2010 consid. 4.2.1; A 7385/2006 consid. 4).</w:t>
      </w:r>
    </w:p>
    <w:p>
      <w:r>
        <w:rPr>
          <w:b/>
        </w:rPr>
        <w:t>E. 5.2.1</w:t>
      </w:r>
    </w:p>
    <w:p>
      <w:r>
        <w:t>Sont notamment considérés comme des activités particulière­ment dangereuses au sens de l'art. 135 al. 1 let. a LAAM, l'usage de l'arme (cf. Message du 8 septembre 1993 relatif à la loi fédérale sur l'armée et l'administration militaire et à l'arrêté fédéral sur l'organisation de l'armée [FF 1993 IV 1, 123]), d'explosifs ou d'équipements lourds (Honsell/Isenring/Kessler, Schweizerisches Haftpflichtrecht, 5ème éd. 2013, p. 241). Le Tribunal administratif fédéral a retenu que cette notion comprend également tous les exercices à tir réel, mais aussi le service de garde armé (cf. arrêts A 6749/2010 consid. 4.2.1; A 7385/2006 consid. 3.1).</w:t>
      </w:r>
    </w:p>
    <w:p>
      <w:r>
        <w:rPr>
          <w:b/>
        </w:rPr>
        <w:t>E. 5.2.2</w:t>
      </w:r>
    </w:p>
    <w:p>
      <w:r>
        <w:t>L'autre activité de service visée par l'art. 135 al. 1 let. b LAAM consiste en une activité qui est commandée par la mission ou par la marche du service (cf. FF 1993 IV 1, 124; Honsell/Isenring/Kessler, op. cit., p. 241; Jost Gross, Schweizerisches Staatshaftungsrecht, 2ème éd. 2001, p. 48). La jurisprudence précise que par activité de service, il faut comprendre l'activité entreprise par un militaire, soit en vertu d'un règlement ou d'un ordre, soit sous la pression des circonstances à l'aide de moyens qui ont été mis à sa disposition ou dont il est autorisé à se servir (ATF 79 II 147 consid. 3; ATF 78 II 419 consid. 3; décision de la Commission de recours du Département militaire fédéral du 24 mai 1996, in: Jurisprudence des autorités administratives de la Confédération [JAAC] 61.85 consid. 4.2). A ce propos, il doit donc être tenu compte du fait que le militaire qui exerce une activité de service n'agit pas à sa guise, mais obéit aux ordres, ce qui le place dans une situation dont il ne peut pas être maître (ATF 78 II 419 consid. 2c). La responsabilité de la Confédération vise, par conséquent, à compenser la spécificité selon laquelle le militaire est soumis à l'obligation de servir et ne peut pas toujours agir conformément à sa volonté (cf. décision de la Commission de recours de l'Administration militaire fédérale du 2 septembre 1977, in: JAAC 43.71 consid. II.1; concernant l'entier du paragraphe: cf. arrêts A 6749/2010 consid. 4.2.1; A 7385/2006 consid. 3.2). A l'inverse, lorsque la façon d'agir du militaire outrepasse clairement ce que la marche du service commande ou ce dont on attend de lui, la Confédération n'engage pas sa responsabilité. Dans ce contexte, un mili­taire qui cause un dommage alors qu'il est de sortie ou en congé est responsable personnellement (FF 1993 IV 1, 124; arrêt A 7385/2006 consid. 3.3 et réf. cit.). De manière plus générale, l'activité privée, quand bien même celle ci s'est déroulée à l'occasion d'une activité militaire, est exclue de la responsabilité de la Confédération, car elle n'est pas couverte par le service. En effet, les actes qui ne trouvent pas leur fondement dans un règlement ou un ordre et qui ne découlent pas non plus de la mission conférée ne peuvent pas être considérés comme ayant été accomplis dans l'exercice d'une activité de service, dans la mesure où ils sont dépourvus de lien fonctionnel avec l'activité militaire (arrêt A 7385/2006 consid. 3.3; Oftinger/Stark, Schweizerisches Haftpflichtrecht, vol. II/3, 4ème éd. 1991, § 32 n. 217 et 219). Les préjudices dont le seul lien avec l'activité militaire consiste dans le fait qu'ils ont été causés à l'occasion de l'exercice de la fonction militaire ne sauraient être consi­dérés comme résultant d'une activité de service. Tel est le cas, par exem­ple, d'un vol commis par un soldat (cf. arrêt A 6749/2010 consid. 4.2.1 et réf. cit.; décision de la Commission de recours de l'Administration mi­litaire fédérale du 25 janvier 1978, in: JAAC 43.72 consid. II). Car, dans une telle situation, le comportement est détachable du service, c'est à dire que le soldat s'est placé en dehors du cadre normal de l'exercice de ses fonctions. Ce régime de séparation des responsabilités selon la nature de l'acte est le même que celui posé à l'art. 55 al. 1 CO, qui limite la responsabilité de l'employeur aux actes commis par ses travailleurs dans l'accomplissement de leur travail (Oftinger/Stark, op. cit., § 32 n. 218).</w:t>
      </w:r>
    </w:p>
    <w:p>
      <w:r>
        <w:rPr>
          <w:b/>
        </w:rPr>
        <w:t>E. 5.3</w:t>
      </w:r>
    </w:p>
    <w:p>
      <w:r>
        <w:t>En l'espèce, il faut tout d'abord relever que l'acte dommageable survenu ne peut, à l'évidence, être qualifié d'activité militaire particuliè­rement dangereuse au sens de l'art. 135 al. 1 let. a LAAM, ce que le recourant ne prétend du reste pas. Ensuite, et contrairement à ce que ce dernier soutient, il appert que l'endommagement des panneaux « sand­wich » ne résulte pas non plus d'une autre activité de service au sens de l'art. 135 al. 1 let. b LAAM. Pour cause, même s'il fallait considérer que l'acte en question avait été commis par des militaires, ce que l'enquête pénale, tant civile que militaire, n'a toutefois pas permis d'établir, alors que, par hypothèse, ceux ci se déplaçaient pour rejoindre le prochain emplacement déterminé dans le cadre de l'exercice effectué à X., le jet de pierres intervenu dans les circonstances d'espèce ne consistait manifes­tement pas en un acte de service. Comme il a été vu, la particularité selon laquelle l'infraction a pu se pro­duire alors que des militaires n'étaient ni en congé, ni de sortie ne signi­fie pas que les agissements reprochés entrent dans la notion d'activité de service, celle-ci se définissant par sa nature, c'est à dire par sa relation fonctionnelle avec l'activité militaire, et non par rapport au moment où elle est exercée. Ainsi, le fait qu'elle ait pu être commise en service n'est pas déterminant. A l'exemple du vol commis par un soldat, la déprédation de la propriété d'autrui par le jet de pierres, pour certaines de taille consé­quente (...), ne s'apparente pas à une activité militaire, ni à une activité qu'exige la marche du service ou la mission. Il se détache par conséquent du service par sa nature. Un tel acte n'est de surcroît ni prévu par le règlement, ni ordonné par le supérieur. A ce propos, l'enquête pénale mi­litaire a d'ailleurs pu démontrer que le terrain, qui avait fait l'objet d'une reconnaissance en vue d'un exercice de la troupe, n'avait finalement pas été utilisé. Il n'est pas non plus question, en l'espèce, d'un acte accompli sous la pression des circonstances, à l'aide des moyens mis à disposition ou dont l'auteur du dommage était autorisé à se servir. En conséquence, force est de constater que le jet de pierres qui a entraîné l'endommagement des panneaux « sandwich » du recourant ne saurait trouver son fondement dans une activité de service, mais bien dans une éventuelle activité privée d'un ou de plusieurs militaires. Comme l'auto­rité inférieure l'a justement indiqué au recourant, le fait que le dommage matériel subi résulte d'une activité privée a pour conséquence que le ou les militaires dont ni l'implication, ni l'identité n'ont pu être déterminées par l'instruction pénale qui a été conduite devrai(en)t répondre person­nellement du méfait causé et serai(en)t ainsi personnellement et directe­ment responsable(s) de la réparation du dommage. Dès lors que la condition d'application issue de l'art. 135 al. 1 LAAM n'est pas remplie, la responsabilité de la Confédération ne saurait être engagée en l'espèce. L'examen des conditions propres au droit de la responsabilité n'a donc pas lieu d'être. Il s'ensuit que le recours doit être rejeté.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